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F3D66" w14:textId="0C78024C"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4C31E5">
        <w:rPr>
          <w:rFonts w:eastAsia="宋体"/>
          <w:b/>
          <w:bCs/>
          <w:sz w:val="28"/>
          <w:szCs w:val="28"/>
          <w:lang w:eastAsia="zh-CN"/>
        </w:rPr>
        <w:t>5</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093B41" w:rsidRPr="00093B41">
        <w:rPr>
          <w:rFonts w:eastAsia="宋体"/>
          <w:b/>
          <w:bCs/>
          <w:sz w:val="28"/>
          <w:szCs w:val="28"/>
        </w:rPr>
        <w:t>R1-210</w:t>
      </w:r>
      <w:r w:rsidR="00320F60">
        <w:rPr>
          <w:rFonts w:eastAsia="宋体"/>
          <w:b/>
          <w:bCs/>
          <w:sz w:val="28"/>
          <w:szCs w:val="28"/>
        </w:rPr>
        <w:t>4407</w:t>
      </w:r>
    </w:p>
    <w:p w14:paraId="4A2B2B80" w14:textId="731CA74B"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4C31E5">
        <w:rPr>
          <w:rFonts w:eastAsia="宋体"/>
          <w:b/>
          <w:bCs/>
          <w:sz w:val="28"/>
          <w:szCs w:val="28"/>
        </w:rPr>
        <w:t>May</w:t>
      </w:r>
      <w:r w:rsidR="00464741">
        <w:rPr>
          <w:rFonts w:eastAsia="宋体"/>
          <w:b/>
          <w:bCs/>
          <w:sz w:val="28"/>
          <w:szCs w:val="28"/>
        </w:rPr>
        <w:t xml:space="preserve"> </w:t>
      </w:r>
      <w:r w:rsidR="004C31E5">
        <w:rPr>
          <w:rFonts w:eastAsia="宋体"/>
          <w:b/>
          <w:bCs/>
          <w:sz w:val="28"/>
          <w:szCs w:val="28"/>
        </w:rPr>
        <w:t>10</w:t>
      </w:r>
      <w:r w:rsidR="003D7203" w:rsidRPr="00464741">
        <w:rPr>
          <w:rFonts w:eastAsia="宋体"/>
          <w:b/>
          <w:bCs/>
          <w:sz w:val="28"/>
          <w:szCs w:val="28"/>
          <w:vertAlign w:val="superscript"/>
        </w:rPr>
        <w:t>th</w:t>
      </w:r>
      <w:r w:rsidR="003D7203" w:rsidRPr="003D7203">
        <w:rPr>
          <w:rFonts w:eastAsia="宋体"/>
          <w:b/>
          <w:bCs/>
          <w:sz w:val="28"/>
          <w:szCs w:val="28"/>
        </w:rPr>
        <w:t xml:space="preserve"> –</w:t>
      </w:r>
      <w:r w:rsidR="004C31E5">
        <w:rPr>
          <w:rFonts w:eastAsia="宋体"/>
          <w:b/>
          <w:bCs/>
          <w:sz w:val="28"/>
          <w:szCs w:val="28"/>
        </w:rPr>
        <w:t xml:space="preserve"> 27</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w:t>
      </w:r>
      <w:r w:rsidR="007A4244">
        <w:rPr>
          <w:rFonts w:eastAsia="宋体"/>
          <w:b/>
          <w:bCs/>
          <w:sz w:val="28"/>
          <w:szCs w:val="28"/>
        </w:rPr>
        <w:t>1</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54D8ED8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0" w:name="OLE_LINK9"/>
      <w:bookmarkStart w:id="1" w:name="OLE_LINK10"/>
      <w:r w:rsidR="00C209D5">
        <w:rPr>
          <w:b/>
          <w:bCs/>
          <w:sz w:val="28"/>
          <w:szCs w:val="28"/>
          <w:lang w:val="en-GB" w:eastAsia="zh-CN"/>
        </w:rPr>
        <w:t>7</w:t>
      </w:r>
      <w:r w:rsidR="00F65475" w:rsidRPr="00274EE5">
        <w:rPr>
          <w:b/>
          <w:bCs/>
          <w:sz w:val="28"/>
          <w:szCs w:val="28"/>
          <w:lang w:val="en-GB" w:eastAsia="zh-CN"/>
        </w:rPr>
        <w:t>.</w:t>
      </w:r>
      <w:r w:rsidR="00C209D5">
        <w:rPr>
          <w:b/>
          <w:bCs/>
          <w:sz w:val="28"/>
          <w:szCs w:val="28"/>
          <w:lang w:val="en-GB" w:eastAsia="zh-CN"/>
        </w:rPr>
        <w:t>2</w:t>
      </w:r>
      <w:r w:rsidR="00F65475" w:rsidRPr="00274EE5">
        <w:rPr>
          <w:b/>
          <w:bCs/>
          <w:sz w:val="28"/>
          <w:szCs w:val="28"/>
          <w:lang w:val="en-GB" w:eastAsia="zh-CN"/>
        </w:rPr>
        <w:t>.</w:t>
      </w:r>
      <w:bookmarkEnd w:id="0"/>
      <w:bookmarkEnd w:id="1"/>
      <w:r w:rsidR="00C209D5">
        <w:rPr>
          <w:b/>
          <w:bCs/>
          <w:sz w:val="28"/>
          <w:szCs w:val="28"/>
          <w:lang w:val="en-GB" w:eastAsia="zh-CN"/>
        </w:rPr>
        <w:t>6</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726059BE" w:rsidR="000247A4" w:rsidRPr="00274EE5" w:rsidRDefault="000247A4" w:rsidP="004B69A5">
      <w:pPr>
        <w:tabs>
          <w:tab w:val="left" w:pos="1985"/>
        </w:tabs>
        <w:overflowPunct w:val="0"/>
        <w:snapToGrid/>
        <w:ind w:left="1985" w:hanging="1985"/>
        <w:textAlignment w:val="baseline"/>
        <w:rPr>
          <w:b/>
          <w:bCs/>
          <w:sz w:val="28"/>
          <w:szCs w:val="28"/>
          <w:lang w:eastAsia="zh-CN"/>
        </w:rPr>
      </w:pPr>
      <w:bookmarkStart w:id="2" w:name="OLE_LINK2"/>
      <w:bookmarkStart w:id="3" w:name="OLE_LINK3"/>
      <w:r w:rsidRPr="00274EE5">
        <w:rPr>
          <w:b/>
          <w:bCs/>
          <w:sz w:val="28"/>
          <w:szCs w:val="28"/>
          <w:lang w:val="en-GB" w:eastAsia="zh-CN"/>
        </w:rPr>
        <w:t>Title:</w:t>
      </w:r>
      <w:r w:rsidRPr="00274EE5">
        <w:rPr>
          <w:b/>
          <w:bCs/>
          <w:sz w:val="28"/>
          <w:szCs w:val="28"/>
          <w:lang w:val="en-GB" w:eastAsia="zh-CN"/>
        </w:rPr>
        <w:tab/>
      </w:r>
      <w:r w:rsidR="00C209D5">
        <w:rPr>
          <w:b/>
          <w:bCs/>
          <w:sz w:val="28"/>
          <w:szCs w:val="28"/>
          <w:lang w:val="en-GB" w:eastAsia="zh-CN"/>
        </w:rPr>
        <w:t>Maintenance on multi-TRP</w:t>
      </w:r>
      <w:r w:rsidR="003279FD">
        <w:rPr>
          <w:b/>
          <w:bCs/>
          <w:sz w:val="28"/>
          <w:szCs w:val="28"/>
          <w:lang w:val="en-GB" w:eastAsia="zh-CN"/>
        </w:rPr>
        <w:t xml:space="preserve"> transmission</w:t>
      </w:r>
    </w:p>
    <w:p w14:paraId="5B23574E" w14:textId="23494FCB"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r w:rsidR="00FA75B4">
        <w:rPr>
          <w:b/>
          <w:bCs/>
          <w:sz w:val="28"/>
          <w:szCs w:val="28"/>
          <w:lang w:val="en-GB" w:eastAsia="zh-CN"/>
        </w:rPr>
        <w:t xml:space="preserve"> and </w:t>
      </w:r>
      <w:r w:rsidR="004B5578" w:rsidRPr="004B5578">
        <w:rPr>
          <w:b/>
          <w:bCs/>
          <w:sz w:val="28"/>
          <w:szCs w:val="28"/>
          <w:lang w:val="en-GB" w:eastAsia="zh-CN"/>
        </w:rPr>
        <w:t>Decision</w:t>
      </w:r>
    </w:p>
    <w:bookmarkEnd w:id="2"/>
    <w:bookmarkEnd w:id="3"/>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084588" w:rsidRDefault="000247A4" w:rsidP="00181644">
      <w:pPr>
        <w:pStyle w:val="Heading1"/>
        <w:spacing w:line="276" w:lineRule="auto"/>
        <w:ind w:left="431" w:hanging="431"/>
        <w:rPr>
          <w:sz w:val="32"/>
          <w:lang w:eastAsia="zh-CN"/>
        </w:rPr>
      </w:pPr>
      <w:bookmarkStart w:id="4" w:name="_Ref124589705"/>
      <w:bookmarkStart w:id="5" w:name="_Ref129681862"/>
      <w:r w:rsidRPr="00084588">
        <w:rPr>
          <w:sz w:val="32"/>
          <w:lang w:eastAsia="zh-CN"/>
        </w:rPr>
        <w:t>Introduction</w:t>
      </w:r>
      <w:bookmarkEnd w:id="4"/>
      <w:bookmarkEnd w:id="5"/>
    </w:p>
    <w:p w14:paraId="467C8CC3" w14:textId="6FF368FB" w:rsidR="007A6F9D" w:rsidRPr="007637D7" w:rsidRDefault="005263F5" w:rsidP="00D46216">
      <w:pPr>
        <w:spacing w:line="276" w:lineRule="auto"/>
        <w:rPr>
          <w:lang w:eastAsia="zh-CN"/>
        </w:rPr>
      </w:pPr>
      <w:r>
        <w:rPr>
          <w:lang w:eastAsia="zh-CN"/>
        </w:rPr>
        <w:t xml:space="preserve">In this contribution, we </w:t>
      </w:r>
      <w:r w:rsidR="002A5CD8">
        <w:rPr>
          <w:lang w:eastAsia="zh-CN"/>
        </w:rPr>
        <w:t>discuss the issue on the default beam for cross-carrier PDSCH scheduling in multi-TRP</w:t>
      </w:r>
      <w:r w:rsidR="005C4A6E" w:rsidRPr="007637D7">
        <w:rPr>
          <w:lang w:eastAsia="zh-CN"/>
        </w:rPr>
        <w:t>.</w:t>
      </w:r>
      <w:r w:rsidR="00F82289" w:rsidRPr="007637D7">
        <w:rPr>
          <w:lang w:eastAsia="zh-CN"/>
        </w:rPr>
        <w:t xml:space="preserve"> </w:t>
      </w:r>
    </w:p>
    <w:p w14:paraId="3330E2EB" w14:textId="63A3FEA3" w:rsidR="0096698F" w:rsidRDefault="00CD1F11" w:rsidP="003515A9">
      <w:pPr>
        <w:pStyle w:val="Heading1"/>
        <w:spacing w:line="276" w:lineRule="auto"/>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256CA33C" w14:textId="514A1F57" w:rsidR="00545E9D" w:rsidRDefault="00C0430F" w:rsidP="00B23C9D">
      <w:pPr>
        <w:spacing w:line="288" w:lineRule="auto"/>
        <w:rPr>
          <w:lang w:eastAsia="zh-CN"/>
        </w:rPr>
      </w:pPr>
      <w:r>
        <w:rPr>
          <w:lang w:eastAsia="zh-CN"/>
        </w:rPr>
        <w:t>Default QCL for PDSCH for in-carrier scheduling in both single-DCI and multi-DCI based multi-TRP has been specified in Rel-16. Additionally</w:t>
      </w:r>
      <w:r w:rsidR="00037C4B">
        <w:rPr>
          <w:lang w:eastAsia="zh-CN"/>
        </w:rPr>
        <w:t>, d</w:t>
      </w:r>
      <w:r w:rsidR="00613757">
        <w:rPr>
          <w:lang w:eastAsia="zh-CN"/>
        </w:rPr>
        <w:t>efault QCL for PDSCH reception for cross-carrier scheduling in single TRP is supported in Rel-1</w:t>
      </w:r>
      <w:r w:rsidR="000F2FA4">
        <w:rPr>
          <w:lang w:eastAsia="zh-CN"/>
        </w:rPr>
        <w:t>6</w:t>
      </w:r>
      <w:r w:rsidR="00C17703">
        <w:rPr>
          <w:lang w:eastAsia="zh-CN"/>
        </w:rPr>
        <w:t xml:space="preserve"> when the scheduling offset is less than the thre</w:t>
      </w:r>
      <w:r w:rsidR="00C003E1">
        <w:rPr>
          <w:lang w:eastAsia="zh-CN"/>
        </w:rPr>
        <w:t xml:space="preserve">shold </w:t>
      </w:r>
      <w:proofErr w:type="spellStart"/>
      <w:r w:rsidR="00C003E1" w:rsidRPr="00A824DB">
        <w:rPr>
          <w:i/>
          <w:iCs/>
          <w:lang w:eastAsia="zh-CN"/>
        </w:rPr>
        <w:t>timeDurationForQCL</w:t>
      </w:r>
      <w:proofErr w:type="spellEnd"/>
      <w:r w:rsidR="00613757">
        <w:rPr>
          <w:lang w:eastAsia="zh-CN"/>
        </w:rPr>
        <w:t>, where</w:t>
      </w:r>
      <w:r w:rsidR="00C17703">
        <w:rPr>
          <w:lang w:eastAsia="zh-CN"/>
        </w:rPr>
        <w:t xml:space="preserve"> the </w:t>
      </w:r>
      <w:r w:rsidR="00613757">
        <w:rPr>
          <w:lang w:eastAsia="zh-CN"/>
        </w:rPr>
        <w:t xml:space="preserve"> </w:t>
      </w:r>
      <w:r w:rsidR="00D77F19">
        <w:rPr>
          <w:lang w:eastAsia="zh-CN"/>
        </w:rPr>
        <w:t xml:space="preserve">activated TCI state with lowest ID in the active BWP of the scheduling CC is determined as the </w:t>
      </w:r>
      <w:r w:rsidR="00B23C9D">
        <w:rPr>
          <w:lang w:eastAsia="zh-CN"/>
        </w:rPr>
        <w:t xml:space="preserve">default </w:t>
      </w:r>
      <w:r w:rsidR="00D77F19">
        <w:rPr>
          <w:lang w:eastAsia="zh-CN"/>
        </w:rPr>
        <w:t>TCI for PDSCH reception.</w:t>
      </w:r>
      <w:r w:rsidR="0044446C">
        <w:rPr>
          <w:lang w:eastAsia="zh-CN"/>
        </w:rPr>
        <w:t xml:space="preserve"> </w:t>
      </w:r>
      <w:r w:rsidR="001F55B3">
        <w:rPr>
          <w:lang w:eastAsia="zh-CN"/>
        </w:rPr>
        <w:t>From the specification perspective, single-DCI based multi-TRP transmission can be scheduled by cross-carrier scheduling.</w:t>
      </w:r>
      <w:r w:rsidR="000A36E4">
        <w:rPr>
          <w:lang w:eastAsia="zh-CN"/>
        </w:rPr>
        <w:t xml:space="preserve"> However, </w:t>
      </w:r>
      <w:r w:rsidR="00310FA3">
        <w:rPr>
          <w:lang w:eastAsia="zh-CN"/>
        </w:rPr>
        <w:t>how to determine the default QCL for the PDSCH reception has not supported in the specification.</w:t>
      </w:r>
      <w:r w:rsidR="00AB2C7E">
        <w:rPr>
          <w:lang w:eastAsia="zh-CN"/>
        </w:rPr>
        <w:t xml:space="preserve"> To address this issue,</w:t>
      </w:r>
      <w:r w:rsidR="00606508">
        <w:rPr>
          <w:lang w:eastAsia="zh-CN"/>
        </w:rPr>
        <w:t xml:space="preserve"> we have the following proposal and </w:t>
      </w:r>
      <w:r w:rsidR="001B3F14">
        <w:rPr>
          <w:lang w:eastAsia="zh-CN"/>
        </w:rPr>
        <w:t>TP.</w:t>
      </w:r>
    </w:p>
    <w:p w14:paraId="45B8CDF7" w14:textId="0B01036F" w:rsidR="000A36E4" w:rsidRPr="00A838E5" w:rsidRDefault="000A36E4" w:rsidP="00B23C9D">
      <w:pPr>
        <w:spacing w:line="288" w:lineRule="auto"/>
        <w:rPr>
          <w:b/>
          <w:bCs/>
          <w:i/>
          <w:iCs/>
          <w:lang w:eastAsia="zh-CN"/>
        </w:rPr>
      </w:pPr>
      <w:r w:rsidRPr="003300E5">
        <w:rPr>
          <w:b/>
          <w:bCs/>
          <w:i/>
          <w:iCs/>
          <w:lang w:eastAsia="zh-CN"/>
        </w:rPr>
        <w:t>Proposal</w:t>
      </w:r>
      <w:r w:rsidR="003A1AA2">
        <w:rPr>
          <w:b/>
          <w:bCs/>
          <w:i/>
          <w:iCs/>
          <w:lang w:eastAsia="zh-CN"/>
        </w:rPr>
        <w:t xml:space="preserve"> 1</w:t>
      </w:r>
      <w:r w:rsidRPr="003300E5">
        <w:rPr>
          <w:b/>
          <w:bCs/>
          <w:i/>
          <w:iCs/>
          <w:lang w:eastAsia="zh-CN"/>
        </w:rPr>
        <w:t xml:space="preserve">: </w:t>
      </w:r>
      <w:r w:rsidR="003905E1" w:rsidRPr="00A838E5">
        <w:rPr>
          <w:b/>
          <w:bCs/>
          <w:i/>
          <w:iCs/>
          <w:lang w:eastAsia="zh-CN"/>
        </w:rPr>
        <w:t>For the case that the PDCCH carrying the scheduling DCI is received on one component carrier, and the PDSCH scheduled by that DCI is on another component carrier</w:t>
      </w:r>
      <w:r w:rsidR="00D30E59" w:rsidRPr="00A838E5">
        <w:rPr>
          <w:b/>
          <w:bCs/>
          <w:i/>
          <w:iCs/>
          <w:lang w:eastAsia="zh-CN"/>
        </w:rPr>
        <w:t xml:space="preserve"> for which </w:t>
      </w:r>
      <w:r w:rsidR="00D30E59" w:rsidRPr="00A838E5">
        <w:rPr>
          <w:b/>
          <w:bCs/>
          <w:i/>
          <w:iCs/>
        </w:rPr>
        <w:t>at least one TCI codepoint indicates two TCI states</w:t>
      </w:r>
      <w:r w:rsidR="003905E1" w:rsidRPr="00A838E5">
        <w:rPr>
          <w:b/>
          <w:bCs/>
          <w:i/>
          <w:iCs/>
          <w:lang w:eastAsia="zh-CN"/>
        </w:rPr>
        <w:t>, if the scheduling offset is less than a threshold</w:t>
      </w:r>
      <w:r w:rsidR="002673C3" w:rsidRPr="00A838E5">
        <w:rPr>
          <w:b/>
          <w:bCs/>
          <w:i/>
          <w:iCs/>
          <w:lang w:eastAsia="zh-CN"/>
        </w:rPr>
        <w:t xml:space="preserve"> and </w:t>
      </w:r>
      <w:r w:rsidR="00284DD8" w:rsidRPr="00A838E5">
        <w:rPr>
          <w:b/>
          <w:bCs/>
          <w:i/>
          <w:iCs/>
          <w:lang w:eastAsia="zh-CN"/>
        </w:rPr>
        <w:t xml:space="preserve">the UE is configured with </w:t>
      </w:r>
      <w:proofErr w:type="spellStart"/>
      <w:r w:rsidR="00284DD8" w:rsidRPr="00A838E5">
        <w:rPr>
          <w:b/>
          <w:bCs/>
          <w:i/>
          <w:iCs/>
        </w:rPr>
        <w:t>enableDefaultBeam-ForCCS</w:t>
      </w:r>
      <w:proofErr w:type="spellEnd"/>
      <w:r w:rsidR="00A47F43" w:rsidRPr="00A838E5">
        <w:rPr>
          <w:b/>
          <w:bCs/>
          <w:i/>
          <w:iCs/>
        </w:rPr>
        <w:t xml:space="preserve"> and </w:t>
      </w:r>
      <w:proofErr w:type="spellStart"/>
      <w:r w:rsidR="00A47F43" w:rsidRPr="00A838E5">
        <w:rPr>
          <w:b/>
          <w:bCs/>
          <w:i/>
        </w:rPr>
        <w:t>enableTwoDefaultTCI</w:t>
      </w:r>
      <w:proofErr w:type="spellEnd"/>
      <w:r w:rsidR="00A47F43" w:rsidRPr="00A838E5">
        <w:rPr>
          <w:b/>
          <w:bCs/>
          <w:i/>
        </w:rPr>
        <w:t>-States</w:t>
      </w:r>
      <w:r w:rsidR="003905E1" w:rsidRPr="00A838E5">
        <w:rPr>
          <w:b/>
          <w:bCs/>
          <w:i/>
          <w:iCs/>
          <w:lang w:eastAsia="zh-CN"/>
        </w:rPr>
        <w:t>, the UE</w:t>
      </w:r>
      <w:r w:rsidR="007A1B48" w:rsidRPr="00A838E5">
        <w:rPr>
          <w:b/>
          <w:bCs/>
          <w:i/>
          <w:iCs/>
          <w:lang w:eastAsia="zh-CN"/>
        </w:rPr>
        <w:t xml:space="preserve"> determine</w:t>
      </w:r>
      <w:r w:rsidR="00B81820" w:rsidRPr="00A838E5">
        <w:rPr>
          <w:b/>
          <w:bCs/>
          <w:i/>
          <w:iCs/>
          <w:lang w:eastAsia="zh-CN"/>
        </w:rPr>
        <w:t>s</w:t>
      </w:r>
      <w:r w:rsidR="007A1B48" w:rsidRPr="00A838E5">
        <w:rPr>
          <w:b/>
          <w:bCs/>
          <w:i/>
          <w:iCs/>
          <w:lang w:eastAsia="zh-CN"/>
        </w:rPr>
        <w:t xml:space="preserve"> </w:t>
      </w:r>
      <w:r w:rsidR="00D30E59" w:rsidRPr="00A838E5">
        <w:rPr>
          <w:b/>
          <w:bCs/>
          <w:i/>
          <w:iCs/>
          <w:lang w:eastAsia="zh-CN"/>
        </w:rPr>
        <w:t>the</w:t>
      </w:r>
      <w:r w:rsidR="006C7F9B" w:rsidRPr="00A838E5">
        <w:rPr>
          <w:b/>
          <w:bCs/>
          <w:i/>
          <w:iCs/>
          <w:lang w:eastAsia="zh-CN"/>
        </w:rPr>
        <w:t xml:space="preserve"> </w:t>
      </w:r>
      <w:r w:rsidR="00B81820" w:rsidRPr="00A838E5">
        <w:rPr>
          <w:b/>
          <w:bCs/>
          <w:i/>
          <w:iCs/>
          <w:lang w:eastAsia="zh-CN"/>
        </w:rPr>
        <w:t>TCI states corresponding to the lowest codepoint among the TCI codepoints containing two different TCI states</w:t>
      </w:r>
      <w:r w:rsidR="00AF5B50" w:rsidRPr="00A838E5">
        <w:rPr>
          <w:b/>
          <w:bCs/>
          <w:i/>
          <w:iCs/>
          <w:lang w:eastAsia="zh-CN"/>
        </w:rPr>
        <w:t xml:space="preserve"> as the default </w:t>
      </w:r>
      <w:r w:rsidR="00700A57" w:rsidRPr="00A838E5">
        <w:rPr>
          <w:b/>
          <w:bCs/>
          <w:i/>
          <w:iCs/>
          <w:lang w:eastAsia="zh-CN"/>
        </w:rPr>
        <w:t>TCI states for PDSCH reception</w:t>
      </w:r>
      <w:r w:rsidR="00F409AD" w:rsidRPr="00A838E5">
        <w:rPr>
          <w:b/>
          <w:bCs/>
          <w:i/>
          <w:iCs/>
          <w:lang w:eastAsia="zh-CN"/>
        </w:rPr>
        <w:t>.</w:t>
      </w:r>
      <w:r w:rsidR="00D30E59" w:rsidRPr="00A838E5">
        <w:rPr>
          <w:b/>
          <w:bCs/>
          <w:i/>
          <w:iCs/>
          <w:lang w:eastAsia="zh-CN"/>
        </w:rPr>
        <w:t xml:space="preserve"> </w:t>
      </w:r>
    </w:p>
    <w:p w14:paraId="445DE76B" w14:textId="27996DD7" w:rsidR="00B23C9D" w:rsidRPr="00A838E5" w:rsidRDefault="003A1AA2" w:rsidP="00545E9D">
      <w:pPr>
        <w:rPr>
          <w:b/>
          <w:bCs/>
          <w:i/>
          <w:iCs/>
          <w:lang w:eastAsia="zh-CN"/>
        </w:rPr>
      </w:pPr>
      <w:r w:rsidRPr="00A838E5">
        <w:rPr>
          <w:b/>
          <w:bCs/>
          <w:i/>
          <w:iCs/>
          <w:lang w:eastAsia="zh-CN"/>
        </w:rPr>
        <w:t>Proposal 2: Adopt the following TP for TS38.214</w:t>
      </w:r>
    </w:p>
    <w:p w14:paraId="4FF2FAE5" w14:textId="50FC43DB" w:rsidR="00AC5283" w:rsidRDefault="00AC5283" w:rsidP="00AC5283">
      <w:pPr>
        <w:pStyle w:val="Heading3"/>
        <w:rPr>
          <w:lang w:eastAsia="zh-CN"/>
        </w:rPr>
      </w:pPr>
      <w:r>
        <w:rPr>
          <w:rFonts w:hint="eastAsia"/>
          <w:lang w:eastAsia="zh-CN"/>
        </w:rPr>
        <w:lastRenderedPageBreak/>
        <w:t>T</w:t>
      </w:r>
      <w:r>
        <w:rPr>
          <w:lang w:eastAsia="zh-CN"/>
        </w:rPr>
        <w:t>P for TS38.21</w:t>
      </w:r>
      <w:r w:rsidR="008D498E">
        <w:rPr>
          <w:lang w:eastAsia="zh-CN"/>
        </w:rPr>
        <w:t>4</w:t>
      </w:r>
    </w:p>
    <w:tbl>
      <w:tblPr>
        <w:tblStyle w:val="TableGrid"/>
        <w:tblW w:w="0" w:type="auto"/>
        <w:tblLook w:val="04A0" w:firstRow="1" w:lastRow="0" w:firstColumn="1" w:lastColumn="0" w:noHBand="0" w:noVBand="1"/>
      </w:tblPr>
      <w:tblGrid>
        <w:gridCol w:w="9307"/>
      </w:tblGrid>
      <w:tr w:rsidR="00AC5283" w14:paraId="3C157A90" w14:textId="77777777" w:rsidTr="00382C90">
        <w:tc>
          <w:tcPr>
            <w:tcW w:w="9307" w:type="dxa"/>
          </w:tcPr>
          <w:p w14:paraId="6D677DF5" w14:textId="77777777" w:rsidR="00804564" w:rsidRPr="00FD7B96" w:rsidRDefault="00804564" w:rsidP="00EC5903">
            <w:pPr>
              <w:pStyle w:val="Heading4"/>
              <w:numPr>
                <w:ilvl w:val="0"/>
                <w:numId w:val="0"/>
              </w:numPr>
              <w:outlineLvl w:val="3"/>
              <w:rPr>
                <w:color w:val="000000"/>
                <w:lang w:val="x-none"/>
              </w:rPr>
            </w:pPr>
            <w:r>
              <w:rPr>
                <w:color w:val="000000"/>
                <w:sz w:val="22"/>
              </w:rPr>
              <w:t>5.1.5</w:t>
            </w:r>
            <w:r>
              <w:rPr>
                <w:color w:val="000000"/>
                <w:sz w:val="22"/>
              </w:rPr>
              <w:tab/>
              <w:t>Antenna ports quasi co-location</w:t>
            </w:r>
          </w:p>
          <w:p w14:paraId="77497D72" w14:textId="77777777" w:rsidR="00EC5903" w:rsidRDefault="00EC5903" w:rsidP="00EC5903">
            <w:pPr>
              <w:spacing w:beforeLines="50" w:before="120" w:afterLines="50"/>
              <w:rPr>
                <w:b/>
                <w:bCs/>
                <w:color w:val="000000"/>
                <w:sz w:val="20"/>
                <w:szCs w:val="20"/>
              </w:rPr>
            </w:pPr>
            <w:r>
              <w:rPr>
                <w:color w:val="FF0000"/>
                <w:sz w:val="20"/>
                <w:szCs w:val="20"/>
              </w:rPr>
              <w:t>------------------------------------------------- &lt;Unchanged parts are omitted&gt; ------------------------------------------------</w:t>
            </w:r>
          </w:p>
          <w:p w14:paraId="6D2BEAC2" w14:textId="77777777" w:rsidR="00804564" w:rsidRPr="00FC63E5" w:rsidRDefault="00804564" w:rsidP="00804564">
            <w:pPr>
              <w:rPr>
                <w:color w:val="000000"/>
                <w:sz w:val="20"/>
              </w:rPr>
            </w:pPr>
            <w:r w:rsidRPr="00331F78">
              <w:rPr>
                <w:color w:val="000000"/>
                <w:sz w:val="20"/>
              </w:rPr>
              <w:t xml:space="preserve">If the PDCCH carrying the scheduling DCI is received on one component carrier, and the PDSCH scheduled by that DCI is on another component carrier and the UE is configured with </w:t>
            </w:r>
            <w:proofErr w:type="spellStart"/>
            <w:r w:rsidRPr="00331F78">
              <w:rPr>
                <w:i/>
                <w:color w:val="000000"/>
                <w:sz w:val="20"/>
              </w:rPr>
              <w:t>enableDefaultBeam</w:t>
            </w:r>
            <w:r>
              <w:rPr>
                <w:i/>
                <w:color w:val="000000"/>
                <w:sz w:val="20"/>
              </w:rPr>
              <w:t>-</w:t>
            </w:r>
            <w:r w:rsidRPr="00331F78">
              <w:rPr>
                <w:i/>
                <w:color w:val="000000"/>
                <w:sz w:val="20"/>
              </w:rPr>
              <w:t>ForCCS</w:t>
            </w:r>
            <w:proofErr w:type="spellEnd"/>
            <w:r>
              <w:rPr>
                <w:color w:val="000000"/>
                <w:sz w:val="20"/>
              </w:rPr>
              <w:t>:</w:t>
            </w:r>
          </w:p>
          <w:p w14:paraId="48DA05EB" w14:textId="77777777" w:rsidR="00804564" w:rsidRPr="00F9129E" w:rsidRDefault="00804564" w:rsidP="00804564">
            <w:pPr>
              <w:pStyle w:val="B1"/>
            </w:pPr>
            <w:r>
              <w:t>-</w:t>
            </w:r>
            <w:r>
              <w:tab/>
            </w:r>
            <w:r w:rsidRPr="00331F78">
              <w:t xml:space="preserve">The </w:t>
            </w:r>
            <w:proofErr w:type="spellStart"/>
            <w:r w:rsidRPr="00331F78">
              <w:rPr>
                <w:i/>
              </w:rPr>
              <w:t>timeDurationForQCL</w:t>
            </w:r>
            <w:proofErr w:type="spellEnd"/>
            <w:r w:rsidRPr="00331F78">
              <w:t xml:space="preserve"> is determined based on the subcarrier spacing of the scheduled PDSC</w:t>
            </w:r>
            <w:r w:rsidRPr="00331F78">
              <w:rPr>
                <w:lang w:val="en-US"/>
              </w:rPr>
              <w:t>H</w:t>
            </w:r>
            <w:r w:rsidRPr="00331F78">
              <w:t>. If µ</w:t>
            </w:r>
            <w:r w:rsidRPr="00331F78">
              <w:rPr>
                <w:vertAlign w:val="subscript"/>
              </w:rPr>
              <w:t>PDCCH</w:t>
            </w:r>
            <w:r w:rsidRPr="00331F78">
              <w:t xml:space="preserve"> &lt; µ</w:t>
            </w:r>
            <w:r w:rsidRPr="00331F78">
              <w:rPr>
                <w:vertAlign w:val="subscript"/>
              </w:rPr>
              <w:t>PDSCH</w:t>
            </w:r>
            <w:r w:rsidRPr="00331F78">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331F78">
              <w:t xml:space="preserve"> is added to the </w:t>
            </w:r>
            <w:proofErr w:type="spellStart"/>
            <w:r w:rsidRPr="00331F78">
              <w:rPr>
                <w:i/>
              </w:rPr>
              <w:t>timeDurationForQCL</w:t>
            </w:r>
            <w:proofErr w:type="spellEnd"/>
            <w:r w:rsidRPr="00331F78">
              <w:t xml:space="preserve">, where </w:t>
            </w:r>
            <w:r w:rsidRPr="00331F78">
              <w:rPr>
                <w:i/>
              </w:rPr>
              <w:t>d</w:t>
            </w:r>
            <w:r w:rsidRPr="00331F78">
              <w:t xml:space="preserve"> is defined in </w:t>
            </w:r>
            <w:r w:rsidRPr="00331F78">
              <w:rPr>
                <w:color w:val="000000"/>
              </w:rPr>
              <w:t>5.2.1.5.1a-1</w:t>
            </w:r>
            <w:r w:rsidRPr="00F9129E">
              <w:rPr>
                <w:color w:val="000000"/>
              </w:rPr>
              <w:t xml:space="preserve">, otherwise </w:t>
            </w:r>
            <w:r w:rsidRPr="00F9129E">
              <w:rPr>
                <w:i/>
                <w:color w:val="000000"/>
              </w:rPr>
              <w:t>d</w:t>
            </w:r>
            <w:r w:rsidRPr="00F9129E">
              <w:rPr>
                <w:color w:val="000000"/>
              </w:rPr>
              <w:t xml:space="preserve"> is zero</w:t>
            </w:r>
            <w:r w:rsidRPr="00F9129E">
              <w:t>;</w:t>
            </w:r>
          </w:p>
          <w:p w14:paraId="1A53E4A4" w14:textId="77777777" w:rsidR="00EC5903" w:rsidRDefault="00804564" w:rsidP="00804564">
            <w:pPr>
              <w:pStyle w:val="B1"/>
              <w:rPr>
                <w:color w:val="000000"/>
              </w:rPr>
            </w:pPr>
            <w:r>
              <w:t>-</w:t>
            </w:r>
            <w:r>
              <w:tab/>
            </w:r>
            <w:r w:rsidRPr="00FC63E5">
              <w:rPr>
                <w:color w:val="000000"/>
              </w:rPr>
              <w:t>For both the cases</w:t>
            </w:r>
            <w:r w:rsidRPr="00FC63E5">
              <w:rPr>
                <w:color w:val="000000"/>
                <w:lang w:val="en-US"/>
              </w:rPr>
              <w:t>,</w:t>
            </w:r>
            <w:r w:rsidRPr="00FC63E5">
              <w:rPr>
                <w:color w:val="000000"/>
              </w:rPr>
              <w:t xml:space="preserve"> when the offset between the reception of the DL DCI and the corresponding PDSCH is less than the threshold </w:t>
            </w:r>
            <w:proofErr w:type="spellStart"/>
            <w:r w:rsidRPr="00FC63E5">
              <w:rPr>
                <w:i/>
                <w:color w:val="000000"/>
              </w:rPr>
              <w:t>timeDurationForQCL</w:t>
            </w:r>
            <w:proofErr w:type="spellEnd"/>
            <w:r w:rsidRPr="00FC63E5">
              <w:rPr>
                <w:i/>
                <w:color w:val="000000"/>
                <w:lang w:val="en-US"/>
              </w:rPr>
              <w:t>,</w:t>
            </w:r>
            <w:r w:rsidRPr="00FC63E5">
              <w:rPr>
                <w:color w:val="000000"/>
              </w:rPr>
              <w:t xml:space="preserve"> and when the DL DCI does not have the TCI field present, the UE obtains its QCL assumption for the scheduled PDSCH</w:t>
            </w:r>
          </w:p>
          <w:p w14:paraId="6F21E282" w14:textId="5C42BCFA" w:rsidR="00804564" w:rsidRPr="00D31A23" w:rsidRDefault="00804564" w:rsidP="00240678">
            <w:pPr>
              <w:pStyle w:val="B1"/>
              <w:numPr>
                <w:ilvl w:val="0"/>
                <w:numId w:val="34"/>
              </w:numPr>
            </w:pPr>
            <w:r w:rsidRPr="00240678">
              <w:rPr>
                <w:color w:val="000000"/>
              </w:rPr>
              <w:t>from</w:t>
            </w:r>
            <w:r w:rsidRPr="00FC63E5">
              <w:rPr>
                <w:color w:val="000000"/>
              </w:rPr>
              <w:t xml:space="preserve"> the activated TCI state with the lowest ID applicable to PDSCH in the active BWP of the scheduled cell</w:t>
            </w:r>
            <w:r w:rsidR="00EC5903">
              <w:rPr>
                <w:color w:val="000000"/>
              </w:rPr>
              <w:t xml:space="preserve"> </w:t>
            </w:r>
            <w:r w:rsidR="00EC5903" w:rsidRPr="00240678">
              <w:rPr>
                <w:color w:val="FF0000"/>
              </w:rPr>
              <w:t>if all TCI codepoint</w:t>
            </w:r>
            <w:r w:rsidR="00393AF0">
              <w:rPr>
                <w:color w:val="FF0000"/>
              </w:rPr>
              <w:t>s</w:t>
            </w:r>
            <w:r w:rsidR="00EC5903" w:rsidRPr="00240678">
              <w:rPr>
                <w:color w:val="FF0000"/>
              </w:rPr>
              <w:t xml:space="preserve"> indicates only one TCI state</w:t>
            </w:r>
            <w:r w:rsidRPr="00240678">
              <w:rPr>
                <w:color w:val="FF0000"/>
              </w:rPr>
              <w:t>;</w:t>
            </w:r>
            <w:r w:rsidR="00240678" w:rsidRPr="00240678">
              <w:rPr>
                <w:color w:val="FF0000"/>
              </w:rPr>
              <w:t xml:space="preserve"> or</w:t>
            </w:r>
          </w:p>
          <w:p w14:paraId="1DAE2F08" w14:textId="6BF57A28" w:rsidR="00D31A23" w:rsidRDefault="00D31A23" w:rsidP="00240678">
            <w:pPr>
              <w:pStyle w:val="B1"/>
              <w:numPr>
                <w:ilvl w:val="0"/>
                <w:numId w:val="34"/>
              </w:numPr>
            </w:pPr>
            <w:r>
              <w:rPr>
                <w:rFonts w:hint="eastAsia"/>
                <w:lang w:eastAsia="zh-CN"/>
              </w:rPr>
              <w:t>f</w:t>
            </w:r>
            <w:r>
              <w:rPr>
                <w:lang w:eastAsia="zh-CN"/>
              </w:rPr>
              <w:t xml:space="preserve">rom the activated TCI states for the </w:t>
            </w:r>
            <w:r w:rsidRPr="00064673">
              <w:rPr>
                <w:bCs/>
                <w:color w:val="FF0000"/>
              </w:rPr>
              <w:t>lowest codepoint among the TCI codepoints containing two different TCI states</w:t>
            </w:r>
            <w:r>
              <w:rPr>
                <w:bCs/>
                <w:color w:val="FF0000"/>
              </w:rPr>
              <w:t xml:space="preserve"> when the UE is configured with </w:t>
            </w:r>
            <w:proofErr w:type="spellStart"/>
            <w:r w:rsidRPr="00FE0C2F">
              <w:rPr>
                <w:bCs/>
                <w:i/>
                <w:color w:val="FF0000"/>
              </w:rPr>
              <w:t>enableTwoDefaultTCI</w:t>
            </w:r>
            <w:proofErr w:type="spellEnd"/>
            <w:r>
              <w:rPr>
                <w:bCs/>
                <w:i/>
                <w:color w:val="FF0000"/>
              </w:rPr>
              <w:t>-</w:t>
            </w:r>
            <w:r w:rsidRPr="00FE0C2F">
              <w:rPr>
                <w:bCs/>
                <w:i/>
                <w:color w:val="FF0000"/>
              </w:rPr>
              <w:t>States</w:t>
            </w:r>
            <w:r>
              <w:rPr>
                <w:bCs/>
                <w:color w:val="FF0000"/>
              </w:rPr>
              <w:t xml:space="preserve"> and </w:t>
            </w:r>
            <w:r w:rsidRPr="00064673">
              <w:rPr>
                <w:bCs/>
                <w:color w:val="FF0000"/>
              </w:rPr>
              <w:t xml:space="preserve">at least one TCI codepoint indicates two TCI states for the </w:t>
            </w:r>
            <w:r w:rsidR="00E5546A">
              <w:rPr>
                <w:bCs/>
                <w:color w:val="FF0000"/>
              </w:rPr>
              <w:t>scheduled cell</w:t>
            </w:r>
            <w:r w:rsidR="00FC0482">
              <w:rPr>
                <w:bCs/>
                <w:color w:val="FF0000"/>
              </w:rPr>
              <w:t>.</w:t>
            </w:r>
          </w:p>
          <w:p w14:paraId="0717EE16" w14:textId="08821B28" w:rsidR="00AC5283" w:rsidRPr="00EC5903" w:rsidRDefault="00EC5903" w:rsidP="00804564">
            <w:pPr>
              <w:spacing w:beforeLines="50" w:before="120" w:afterLines="50"/>
              <w:rPr>
                <w:b/>
                <w:bCs/>
                <w:color w:val="000000"/>
                <w:sz w:val="20"/>
                <w:szCs w:val="20"/>
              </w:rPr>
            </w:pPr>
            <w:r>
              <w:rPr>
                <w:color w:val="FF0000"/>
                <w:sz w:val="20"/>
                <w:szCs w:val="20"/>
              </w:rPr>
              <w:t>------------------------------------------------- &lt;Unchanged parts are omitted&gt; ------------------------------------------------</w:t>
            </w:r>
          </w:p>
        </w:tc>
      </w:tr>
    </w:tbl>
    <w:p w14:paraId="035B3894" w14:textId="77777777" w:rsidR="00AC5283" w:rsidRPr="00AC5283" w:rsidRDefault="00AC5283" w:rsidP="00446551">
      <w:pPr>
        <w:rPr>
          <w:lang w:eastAsia="zh-CN"/>
        </w:rPr>
      </w:pPr>
    </w:p>
    <w:p w14:paraId="57BE0BA2" w14:textId="559AA1B6" w:rsidR="000247A4" w:rsidRDefault="000247A4" w:rsidP="00181644">
      <w:pPr>
        <w:pStyle w:val="Heading1"/>
        <w:tabs>
          <w:tab w:val="clear" w:pos="522"/>
        </w:tabs>
        <w:spacing w:line="276" w:lineRule="auto"/>
        <w:ind w:left="425" w:hanging="425"/>
        <w:rPr>
          <w:sz w:val="32"/>
          <w:lang w:eastAsia="zh-CN"/>
        </w:rPr>
      </w:pPr>
      <w:r w:rsidRPr="00084588">
        <w:rPr>
          <w:sz w:val="32"/>
          <w:lang w:eastAsia="zh-CN"/>
        </w:rPr>
        <w:t>Conclusion</w:t>
      </w:r>
    </w:p>
    <w:p w14:paraId="6EF9EE43" w14:textId="77777777" w:rsidR="00070756" w:rsidRPr="00A838E5" w:rsidRDefault="00070756" w:rsidP="00070756">
      <w:pPr>
        <w:spacing w:line="288" w:lineRule="auto"/>
        <w:rPr>
          <w:b/>
          <w:bCs/>
          <w:i/>
          <w:iCs/>
          <w:lang w:eastAsia="zh-CN"/>
        </w:rPr>
      </w:pPr>
      <w:r w:rsidRPr="003300E5">
        <w:rPr>
          <w:b/>
          <w:bCs/>
          <w:i/>
          <w:iCs/>
          <w:lang w:eastAsia="zh-CN"/>
        </w:rPr>
        <w:t xml:space="preserve">Proposal: For the </w:t>
      </w:r>
      <w:r w:rsidRPr="00A838E5">
        <w:rPr>
          <w:b/>
          <w:bCs/>
          <w:i/>
          <w:iCs/>
          <w:lang w:eastAsia="zh-CN"/>
        </w:rPr>
        <w:t xml:space="preserve">case that the PDCCH carrying the scheduling DCI is received on one component carrier, and the PDSCH scheduled by that DCI is on another component carrier for which </w:t>
      </w:r>
      <w:r w:rsidRPr="00A838E5">
        <w:rPr>
          <w:b/>
          <w:bCs/>
          <w:i/>
          <w:iCs/>
        </w:rPr>
        <w:t>at least one TCI codepoint indicates two TCI states</w:t>
      </w:r>
      <w:r w:rsidRPr="00A838E5">
        <w:rPr>
          <w:b/>
          <w:bCs/>
          <w:i/>
          <w:iCs/>
          <w:lang w:eastAsia="zh-CN"/>
        </w:rPr>
        <w:t xml:space="preserve">, if the scheduling offset is less than a threshold and the UE is configured with </w:t>
      </w:r>
      <w:proofErr w:type="spellStart"/>
      <w:r w:rsidRPr="00A838E5">
        <w:rPr>
          <w:b/>
          <w:bCs/>
          <w:i/>
          <w:iCs/>
        </w:rPr>
        <w:t>enableDefaultBeam-ForCCS</w:t>
      </w:r>
      <w:proofErr w:type="spellEnd"/>
      <w:r w:rsidRPr="00A838E5">
        <w:rPr>
          <w:b/>
          <w:bCs/>
          <w:i/>
          <w:iCs/>
        </w:rPr>
        <w:t xml:space="preserve"> and </w:t>
      </w:r>
      <w:proofErr w:type="spellStart"/>
      <w:r w:rsidRPr="00A838E5">
        <w:rPr>
          <w:b/>
          <w:bCs/>
          <w:i/>
        </w:rPr>
        <w:t>enableTwoDefaultTCI</w:t>
      </w:r>
      <w:proofErr w:type="spellEnd"/>
      <w:r w:rsidRPr="00A838E5">
        <w:rPr>
          <w:b/>
          <w:bCs/>
          <w:i/>
        </w:rPr>
        <w:t>-States</w:t>
      </w:r>
      <w:r w:rsidRPr="00A838E5">
        <w:rPr>
          <w:b/>
          <w:bCs/>
          <w:i/>
          <w:iCs/>
          <w:lang w:eastAsia="zh-CN"/>
        </w:rPr>
        <w:t xml:space="preserve">, the UE determines the TCI states corresponding to the lowest codepoint among the TCI codepoints containing two different TCI states as the default TCI states for PDSCH reception. </w:t>
      </w:r>
    </w:p>
    <w:p w14:paraId="75D2B390" w14:textId="77777777" w:rsidR="00A16D8C" w:rsidRPr="00945CB5" w:rsidRDefault="00A16D8C" w:rsidP="00A16D8C">
      <w:pPr>
        <w:rPr>
          <w:b/>
          <w:bCs/>
          <w:i/>
          <w:iCs/>
          <w:lang w:eastAsia="zh-CN"/>
        </w:rPr>
      </w:pPr>
      <w:r w:rsidRPr="00945CB5">
        <w:rPr>
          <w:b/>
          <w:bCs/>
          <w:i/>
          <w:iCs/>
          <w:lang w:eastAsia="zh-CN"/>
        </w:rPr>
        <w:t>Proposal 2: Adopt the following TP for TS38.214</w:t>
      </w:r>
    </w:p>
    <w:p w14:paraId="283AB336" w14:textId="0A0A5CC3" w:rsidR="00070756" w:rsidRPr="00A16D8C" w:rsidRDefault="00070756" w:rsidP="00070756">
      <w:pPr>
        <w:rPr>
          <w:lang w:eastAsia="zh-CN"/>
        </w:rPr>
      </w:pPr>
    </w:p>
    <w:tbl>
      <w:tblPr>
        <w:tblStyle w:val="TableGrid"/>
        <w:tblW w:w="0" w:type="auto"/>
        <w:tblLook w:val="04A0" w:firstRow="1" w:lastRow="0" w:firstColumn="1" w:lastColumn="0" w:noHBand="0" w:noVBand="1"/>
      </w:tblPr>
      <w:tblGrid>
        <w:gridCol w:w="9307"/>
      </w:tblGrid>
      <w:tr w:rsidR="00BA0747" w14:paraId="4E2D076B" w14:textId="77777777" w:rsidTr="00BA0747">
        <w:tc>
          <w:tcPr>
            <w:tcW w:w="9307" w:type="dxa"/>
          </w:tcPr>
          <w:p w14:paraId="08BBFA76" w14:textId="77777777" w:rsidR="00BA0747" w:rsidRPr="00FD7B96" w:rsidRDefault="00BA0747" w:rsidP="00BA0747">
            <w:pPr>
              <w:pStyle w:val="Heading4"/>
              <w:numPr>
                <w:ilvl w:val="0"/>
                <w:numId w:val="0"/>
              </w:numPr>
              <w:outlineLvl w:val="3"/>
              <w:rPr>
                <w:color w:val="000000"/>
                <w:lang w:val="x-none"/>
              </w:rPr>
            </w:pPr>
            <w:r>
              <w:rPr>
                <w:color w:val="000000"/>
                <w:sz w:val="22"/>
              </w:rPr>
              <w:lastRenderedPageBreak/>
              <w:t>5.1.5</w:t>
            </w:r>
            <w:r>
              <w:rPr>
                <w:color w:val="000000"/>
                <w:sz w:val="22"/>
              </w:rPr>
              <w:tab/>
              <w:t>Antenna ports quasi co-location</w:t>
            </w:r>
          </w:p>
          <w:p w14:paraId="2E8446ED" w14:textId="77777777" w:rsidR="00BA0747" w:rsidRDefault="00BA0747" w:rsidP="00BA0747">
            <w:pPr>
              <w:spacing w:beforeLines="50" w:before="120" w:afterLines="50"/>
              <w:rPr>
                <w:b/>
                <w:bCs/>
                <w:color w:val="000000"/>
                <w:sz w:val="20"/>
                <w:szCs w:val="20"/>
              </w:rPr>
            </w:pPr>
            <w:r>
              <w:rPr>
                <w:color w:val="FF0000"/>
                <w:sz w:val="20"/>
                <w:szCs w:val="20"/>
              </w:rPr>
              <w:t>------------------------------------------------- &lt;Unchanged parts are omitted&gt; ------------------------------------------------</w:t>
            </w:r>
          </w:p>
          <w:p w14:paraId="23A1C592" w14:textId="77777777" w:rsidR="00BA0747" w:rsidRPr="00FC63E5" w:rsidRDefault="00BA0747" w:rsidP="00BA0747">
            <w:pPr>
              <w:rPr>
                <w:color w:val="000000"/>
                <w:sz w:val="20"/>
              </w:rPr>
            </w:pPr>
            <w:r w:rsidRPr="00331F78">
              <w:rPr>
                <w:color w:val="000000"/>
                <w:sz w:val="20"/>
              </w:rPr>
              <w:t xml:space="preserve">If the PDCCH carrying the scheduling DCI is received on one component carrier, and the PDSCH scheduled by that DCI is on another component carrier and the UE is configured with </w:t>
            </w:r>
            <w:proofErr w:type="spellStart"/>
            <w:r w:rsidRPr="00331F78">
              <w:rPr>
                <w:i/>
                <w:color w:val="000000"/>
                <w:sz w:val="20"/>
              </w:rPr>
              <w:t>enableDefaultBeam</w:t>
            </w:r>
            <w:r>
              <w:rPr>
                <w:i/>
                <w:color w:val="000000"/>
                <w:sz w:val="20"/>
              </w:rPr>
              <w:t>-</w:t>
            </w:r>
            <w:r w:rsidRPr="00331F78">
              <w:rPr>
                <w:i/>
                <w:color w:val="000000"/>
                <w:sz w:val="20"/>
              </w:rPr>
              <w:t>ForCCS</w:t>
            </w:r>
            <w:proofErr w:type="spellEnd"/>
            <w:r>
              <w:rPr>
                <w:color w:val="000000"/>
                <w:sz w:val="20"/>
              </w:rPr>
              <w:t>:</w:t>
            </w:r>
          </w:p>
          <w:p w14:paraId="102532DB" w14:textId="77777777" w:rsidR="00BA0747" w:rsidRPr="00F9129E" w:rsidRDefault="00BA0747" w:rsidP="00BA0747">
            <w:pPr>
              <w:pStyle w:val="B1"/>
              <w:jc w:val="both"/>
            </w:pPr>
            <w:r>
              <w:t>-</w:t>
            </w:r>
            <w:r>
              <w:tab/>
            </w:r>
            <w:r w:rsidRPr="00331F78">
              <w:t xml:space="preserve">The </w:t>
            </w:r>
            <w:proofErr w:type="spellStart"/>
            <w:r w:rsidRPr="00331F78">
              <w:rPr>
                <w:i/>
              </w:rPr>
              <w:t>timeDurationForQCL</w:t>
            </w:r>
            <w:proofErr w:type="spellEnd"/>
            <w:r w:rsidRPr="00331F78">
              <w:t xml:space="preserve"> is determined based on the subcarrier spacing of the scheduled PDSC</w:t>
            </w:r>
            <w:r w:rsidRPr="00331F78">
              <w:rPr>
                <w:lang w:val="en-US"/>
              </w:rPr>
              <w:t>H</w:t>
            </w:r>
            <w:r w:rsidRPr="00331F78">
              <w:t>. If µ</w:t>
            </w:r>
            <w:r w:rsidRPr="00331F78">
              <w:rPr>
                <w:vertAlign w:val="subscript"/>
              </w:rPr>
              <w:t>PDCCH</w:t>
            </w:r>
            <w:r w:rsidRPr="00331F78">
              <w:t xml:space="preserve"> &lt; µ</w:t>
            </w:r>
            <w:r w:rsidRPr="00331F78">
              <w:rPr>
                <w:vertAlign w:val="subscript"/>
              </w:rPr>
              <w:t>PDSCH</w:t>
            </w:r>
            <w:r w:rsidRPr="00331F78">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331F78">
              <w:t xml:space="preserve"> is added to the </w:t>
            </w:r>
            <w:proofErr w:type="spellStart"/>
            <w:r w:rsidRPr="00331F78">
              <w:rPr>
                <w:i/>
              </w:rPr>
              <w:t>timeDurationForQCL</w:t>
            </w:r>
            <w:proofErr w:type="spellEnd"/>
            <w:r w:rsidRPr="00331F78">
              <w:t xml:space="preserve">, where </w:t>
            </w:r>
            <w:r w:rsidRPr="00331F78">
              <w:rPr>
                <w:i/>
              </w:rPr>
              <w:t>d</w:t>
            </w:r>
            <w:r w:rsidRPr="00331F78">
              <w:t xml:space="preserve"> is defined in </w:t>
            </w:r>
            <w:r w:rsidRPr="00331F78">
              <w:rPr>
                <w:color w:val="000000"/>
              </w:rPr>
              <w:t>5.2.1.5.1a-1</w:t>
            </w:r>
            <w:r w:rsidRPr="00F9129E">
              <w:rPr>
                <w:color w:val="000000"/>
              </w:rPr>
              <w:t xml:space="preserve">, otherwise </w:t>
            </w:r>
            <w:r w:rsidRPr="00F9129E">
              <w:rPr>
                <w:i/>
                <w:color w:val="000000"/>
              </w:rPr>
              <w:t>d</w:t>
            </w:r>
            <w:r w:rsidRPr="00F9129E">
              <w:rPr>
                <w:color w:val="000000"/>
              </w:rPr>
              <w:t xml:space="preserve"> is zero</w:t>
            </w:r>
            <w:r w:rsidRPr="00F9129E">
              <w:t>;</w:t>
            </w:r>
          </w:p>
          <w:p w14:paraId="7E1CB39A" w14:textId="77777777" w:rsidR="00BA0747" w:rsidRDefault="00BA0747" w:rsidP="00BA0747">
            <w:pPr>
              <w:pStyle w:val="B1"/>
              <w:jc w:val="both"/>
              <w:rPr>
                <w:color w:val="000000"/>
              </w:rPr>
            </w:pPr>
            <w:r>
              <w:t>-</w:t>
            </w:r>
            <w:r>
              <w:tab/>
            </w:r>
            <w:r w:rsidRPr="00FC63E5">
              <w:rPr>
                <w:color w:val="000000"/>
              </w:rPr>
              <w:t>For both the cases</w:t>
            </w:r>
            <w:r w:rsidRPr="00FC63E5">
              <w:rPr>
                <w:color w:val="000000"/>
                <w:lang w:val="en-US"/>
              </w:rPr>
              <w:t>,</w:t>
            </w:r>
            <w:r w:rsidRPr="00FC63E5">
              <w:rPr>
                <w:color w:val="000000"/>
              </w:rPr>
              <w:t xml:space="preserve"> when the offset between the reception of the DL DCI and the corresponding PDSCH is less than the threshold </w:t>
            </w:r>
            <w:proofErr w:type="spellStart"/>
            <w:r w:rsidRPr="00FC63E5">
              <w:rPr>
                <w:i/>
                <w:color w:val="000000"/>
              </w:rPr>
              <w:t>timeDurationForQCL</w:t>
            </w:r>
            <w:proofErr w:type="spellEnd"/>
            <w:r w:rsidRPr="00FC63E5">
              <w:rPr>
                <w:i/>
                <w:color w:val="000000"/>
                <w:lang w:val="en-US"/>
              </w:rPr>
              <w:t>,</w:t>
            </w:r>
            <w:r w:rsidRPr="00FC63E5">
              <w:rPr>
                <w:color w:val="000000"/>
              </w:rPr>
              <w:t xml:space="preserve"> and when the DL DCI does not have the TCI field present, the UE obtains its QCL assumption for the scheduled PDSCH</w:t>
            </w:r>
          </w:p>
          <w:p w14:paraId="2E23160E" w14:textId="77777777" w:rsidR="00BA0747" w:rsidRPr="00D31A23" w:rsidRDefault="00BA0747" w:rsidP="00BA0747">
            <w:pPr>
              <w:pStyle w:val="B1"/>
              <w:numPr>
                <w:ilvl w:val="0"/>
                <w:numId w:val="34"/>
              </w:numPr>
              <w:jc w:val="both"/>
            </w:pPr>
            <w:r w:rsidRPr="00240678">
              <w:rPr>
                <w:color w:val="000000"/>
              </w:rPr>
              <w:t>from</w:t>
            </w:r>
            <w:r w:rsidRPr="00FC63E5">
              <w:rPr>
                <w:color w:val="000000"/>
              </w:rPr>
              <w:t xml:space="preserve"> the activated TCI state with the lowest ID applicable to PDSCH in the active BWP of the scheduled cell</w:t>
            </w:r>
            <w:r>
              <w:rPr>
                <w:color w:val="000000"/>
              </w:rPr>
              <w:t xml:space="preserve"> </w:t>
            </w:r>
            <w:r w:rsidRPr="00240678">
              <w:rPr>
                <w:color w:val="FF0000"/>
              </w:rPr>
              <w:t>if all TCI codepoint</w:t>
            </w:r>
            <w:r>
              <w:rPr>
                <w:color w:val="FF0000"/>
              </w:rPr>
              <w:t>s</w:t>
            </w:r>
            <w:r w:rsidRPr="00240678">
              <w:rPr>
                <w:color w:val="FF0000"/>
              </w:rPr>
              <w:t xml:space="preserve"> indicates only one TCI state; or</w:t>
            </w:r>
          </w:p>
          <w:p w14:paraId="1311DB59" w14:textId="77777777" w:rsidR="00BA0747" w:rsidRDefault="00BA0747" w:rsidP="00BA0747">
            <w:pPr>
              <w:pStyle w:val="B1"/>
              <w:numPr>
                <w:ilvl w:val="0"/>
                <w:numId w:val="34"/>
              </w:numPr>
              <w:jc w:val="both"/>
            </w:pPr>
            <w:r>
              <w:rPr>
                <w:rFonts w:hint="eastAsia"/>
                <w:lang w:eastAsia="zh-CN"/>
              </w:rPr>
              <w:t>f</w:t>
            </w:r>
            <w:r>
              <w:rPr>
                <w:lang w:eastAsia="zh-CN"/>
              </w:rPr>
              <w:t xml:space="preserve">rom the activated TCI states for the </w:t>
            </w:r>
            <w:r w:rsidRPr="00064673">
              <w:rPr>
                <w:bCs/>
                <w:color w:val="FF0000"/>
              </w:rPr>
              <w:t>lowest codepoint among the TCI codepoints containing two different TCI states</w:t>
            </w:r>
            <w:r>
              <w:rPr>
                <w:bCs/>
                <w:color w:val="FF0000"/>
              </w:rPr>
              <w:t xml:space="preserve"> when the UE is configured with </w:t>
            </w:r>
            <w:proofErr w:type="spellStart"/>
            <w:r w:rsidRPr="00FE0C2F">
              <w:rPr>
                <w:bCs/>
                <w:i/>
                <w:color w:val="FF0000"/>
              </w:rPr>
              <w:t>enableTwoDefaultTCI</w:t>
            </w:r>
            <w:proofErr w:type="spellEnd"/>
            <w:r>
              <w:rPr>
                <w:bCs/>
                <w:i/>
                <w:color w:val="FF0000"/>
              </w:rPr>
              <w:t>-</w:t>
            </w:r>
            <w:r w:rsidRPr="00FE0C2F">
              <w:rPr>
                <w:bCs/>
                <w:i/>
                <w:color w:val="FF0000"/>
              </w:rPr>
              <w:t>States</w:t>
            </w:r>
            <w:r>
              <w:rPr>
                <w:bCs/>
                <w:color w:val="FF0000"/>
              </w:rPr>
              <w:t xml:space="preserve"> and </w:t>
            </w:r>
            <w:r w:rsidRPr="00064673">
              <w:rPr>
                <w:bCs/>
                <w:color w:val="FF0000"/>
              </w:rPr>
              <w:t xml:space="preserve">at least one TCI codepoint indicates two TCI states for the </w:t>
            </w:r>
            <w:r>
              <w:rPr>
                <w:bCs/>
                <w:color w:val="FF0000"/>
              </w:rPr>
              <w:t>scheduled cell.</w:t>
            </w:r>
          </w:p>
          <w:p w14:paraId="15EA0776" w14:textId="60658F71" w:rsidR="00BA0747" w:rsidRDefault="00BA0747" w:rsidP="00BA0747">
            <w:pPr>
              <w:rPr>
                <w:lang w:eastAsia="zh-CN"/>
              </w:rPr>
            </w:pPr>
            <w:r>
              <w:rPr>
                <w:color w:val="FF0000"/>
                <w:sz w:val="20"/>
                <w:szCs w:val="20"/>
              </w:rPr>
              <w:t>------------------------------------------------- &lt;Unchanged parts are omitted&gt; ------------------------------------------------</w:t>
            </w:r>
          </w:p>
        </w:tc>
      </w:tr>
    </w:tbl>
    <w:p w14:paraId="4A956667" w14:textId="77777777" w:rsidR="00070756" w:rsidRPr="00070756" w:rsidRDefault="00070756" w:rsidP="00070756">
      <w:pPr>
        <w:rPr>
          <w:lang w:eastAsia="zh-CN"/>
        </w:rPr>
      </w:pPr>
    </w:p>
    <w:sectPr w:rsidR="00070756" w:rsidRPr="000707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A8DAB" w14:textId="77777777" w:rsidR="00951EBF" w:rsidRDefault="00951EBF">
      <w:r>
        <w:separator/>
      </w:r>
    </w:p>
  </w:endnote>
  <w:endnote w:type="continuationSeparator" w:id="0">
    <w:p w14:paraId="5FA2A6BF" w14:textId="77777777" w:rsidR="00951EBF" w:rsidRDefault="00951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E887F" w14:textId="77777777" w:rsidR="00951EBF" w:rsidRDefault="00951EBF">
      <w:r>
        <w:separator/>
      </w:r>
    </w:p>
  </w:footnote>
  <w:footnote w:type="continuationSeparator" w:id="0">
    <w:p w14:paraId="453D9794" w14:textId="77777777" w:rsidR="00951EBF" w:rsidRDefault="00951E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C5E29FC"/>
    <w:multiLevelType w:val="hybridMultilevel"/>
    <w:tmpl w:val="B1BC12DA"/>
    <w:lvl w:ilvl="0" w:tplc="F4EA6AE0">
      <w:start w:val="1"/>
      <w:numFmt w:val="bullet"/>
      <w:lvlText w:val="-"/>
      <w:lvlJc w:val="left"/>
      <w:pPr>
        <w:ind w:left="1076" w:hanging="420"/>
      </w:pPr>
      <w:rPr>
        <w:rFonts w:ascii="Tahoma" w:hAnsi="Tahoma" w:hint="default"/>
      </w:rPr>
    </w:lvl>
    <w:lvl w:ilvl="1" w:tplc="04090003" w:tentative="1">
      <w:start w:val="1"/>
      <w:numFmt w:val="bullet"/>
      <w:lvlText w:val=""/>
      <w:lvlJc w:val="left"/>
      <w:pPr>
        <w:ind w:left="1496" w:hanging="420"/>
      </w:pPr>
      <w:rPr>
        <w:rFonts w:ascii="Wingdings" w:hAnsi="Wingdings" w:hint="default"/>
      </w:rPr>
    </w:lvl>
    <w:lvl w:ilvl="2" w:tplc="04090005" w:tentative="1">
      <w:start w:val="1"/>
      <w:numFmt w:val="bullet"/>
      <w:lvlText w:val=""/>
      <w:lvlJc w:val="left"/>
      <w:pPr>
        <w:ind w:left="1916" w:hanging="420"/>
      </w:pPr>
      <w:rPr>
        <w:rFonts w:ascii="Wingdings" w:hAnsi="Wingdings" w:hint="default"/>
      </w:rPr>
    </w:lvl>
    <w:lvl w:ilvl="3" w:tplc="04090001" w:tentative="1">
      <w:start w:val="1"/>
      <w:numFmt w:val="bullet"/>
      <w:lvlText w:val=""/>
      <w:lvlJc w:val="left"/>
      <w:pPr>
        <w:ind w:left="2336" w:hanging="420"/>
      </w:pPr>
      <w:rPr>
        <w:rFonts w:ascii="Wingdings" w:hAnsi="Wingdings" w:hint="default"/>
      </w:rPr>
    </w:lvl>
    <w:lvl w:ilvl="4" w:tplc="04090003" w:tentative="1">
      <w:start w:val="1"/>
      <w:numFmt w:val="bullet"/>
      <w:lvlText w:val=""/>
      <w:lvlJc w:val="left"/>
      <w:pPr>
        <w:ind w:left="2756" w:hanging="420"/>
      </w:pPr>
      <w:rPr>
        <w:rFonts w:ascii="Wingdings" w:hAnsi="Wingdings" w:hint="default"/>
      </w:rPr>
    </w:lvl>
    <w:lvl w:ilvl="5" w:tplc="04090005" w:tentative="1">
      <w:start w:val="1"/>
      <w:numFmt w:val="bullet"/>
      <w:lvlText w:val=""/>
      <w:lvlJc w:val="left"/>
      <w:pPr>
        <w:ind w:left="3176" w:hanging="420"/>
      </w:pPr>
      <w:rPr>
        <w:rFonts w:ascii="Wingdings" w:hAnsi="Wingdings" w:hint="default"/>
      </w:rPr>
    </w:lvl>
    <w:lvl w:ilvl="6" w:tplc="04090001" w:tentative="1">
      <w:start w:val="1"/>
      <w:numFmt w:val="bullet"/>
      <w:lvlText w:val=""/>
      <w:lvlJc w:val="left"/>
      <w:pPr>
        <w:ind w:left="3596" w:hanging="420"/>
      </w:pPr>
      <w:rPr>
        <w:rFonts w:ascii="Wingdings" w:hAnsi="Wingdings" w:hint="default"/>
      </w:rPr>
    </w:lvl>
    <w:lvl w:ilvl="7" w:tplc="04090003" w:tentative="1">
      <w:start w:val="1"/>
      <w:numFmt w:val="bullet"/>
      <w:lvlText w:val=""/>
      <w:lvlJc w:val="left"/>
      <w:pPr>
        <w:ind w:left="4016" w:hanging="420"/>
      </w:pPr>
      <w:rPr>
        <w:rFonts w:ascii="Wingdings" w:hAnsi="Wingdings" w:hint="default"/>
      </w:rPr>
    </w:lvl>
    <w:lvl w:ilvl="8" w:tplc="04090005" w:tentative="1">
      <w:start w:val="1"/>
      <w:numFmt w:val="bullet"/>
      <w:lvlText w:val=""/>
      <w:lvlJc w:val="left"/>
      <w:pPr>
        <w:ind w:left="4436" w:hanging="420"/>
      </w:pPr>
      <w:rPr>
        <w:rFonts w:ascii="Wingdings" w:hAnsi="Wingdings" w:hint="default"/>
      </w:rPr>
    </w:lvl>
  </w:abstractNum>
  <w:abstractNum w:abstractNumId="4"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F866893"/>
    <w:multiLevelType w:val="hybridMultilevel"/>
    <w:tmpl w:val="E552160C"/>
    <w:lvl w:ilvl="0" w:tplc="D55CD28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5"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5"/>
  </w:num>
  <w:num w:numId="3">
    <w:abstractNumId w:val="24"/>
  </w:num>
  <w:num w:numId="4">
    <w:abstractNumId w:val="11"/>
  </w:num>
  <w:num w:numId="5">
    <w:abstractNumId w:val="1"/>
  </w:num>
  <w:num w:numId="6">
    <w:abstractNumId w:val="20"/>
  </w:num>
  <w:num w:numId="7">
    <w:abstractNumId w:val="2"/>
  </w:num>
  <w:num w:numId="8">
    <w:abstractNumId w:val="0"/>
  </w:num>
  <w:num w:numId="9">
    <w:abstractNumId w:val="8"/>
  </w:num>
  <w:num w:numId="10">
    <w:abstractNumId w:val="10"/>
  </w:num>
  <w:num w:numId="11">
    <w:abstractNumId w:val="22"/>
  </w:num>
  <w:num w:numId="12">
    <w:abstractNumId w:val="5"/>
  </w:num>
  <w:num w:numId="13">
    <w:abstractNumId w:val="23"/>
  </w:num>
  <w:num w:numId="14">
    <w:abstractNumId w:val="6"/>
  </w:num>
  <w:num w:numId="15">
    <w:abstractNumId w:val="14"/>
  </w:num>
  <w:num w:numId="16">
    <w:abstractNumId w:val="17"/>
  </w:num>
  <w:num w:numId="17">
    <w:abstractNumId w:val="18"/>
  </w:num>
  <w:num w:numId="18">
    <w:abstractNumId w:val="21"/>
  </w:num>
  <w:num w:numId="19">
    <w:abstractNumId w:val="11"/>
  </w:num>
  <w:num w:numId="20">
    <w:abstractNumId w:val="11"/>
  </w:num>
  <w:num w:numId="21">
    <w:abstractNumId w:val="11"/>
  </w:num>
  <w:num w:numId="22">
    <w:abstractNumId w:val="16"/>
  </w:num>
  <w:num w:numId="23">
    <w:abstractNumId w:val="11"/>
  </w:num>
  <w:num w:numId="24">
    <w:abstractNumId w:val="15"/>
  </w:num>
  <w:num w:numId="25">
    <w:abstractNumId w:val="11"/>
  </w:num>
  <w:num w:numId="26">
    <w:abstractNumId w:val="4"/>
  </w:num>
  <w:num w:numId="27">
    <w:abstractNumId w:val="11"/>
  </w:num>
  <w:num w:numId="28">
    <w:abstractNumId w:val="11"/>
  </w:num>
  <w:num w:numId="29">
    <w:abstractNumId w:val="11"/>
  </w:num>
  <w:num w:numId="30">
    <w:abstractNumId w:val="12"/>
  </w:num>
  <w:num w:numId="31">
    <w:abstractNumId w:val="9"/>
  </w:num>
  <w:num w:numId="32">
    <w:abstractNumId w:val="19"/>
  </w:num>
  <w:num w:numId="33">
    <w:abstractNumId w:val="7"/>
  </w:num>
  <w:num w:numId="3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4B"/>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756"/>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6D"/>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91F"/>
    <w:rsid w:val="00092A30"/>
    <w:rsid w:val="00092EA5"/>
    <w:rsid w:val="00092F09"/>
    <w:rsid w:val="00093697"/>
    <w:rsid w:val="00093B41"/>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6E4"/>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03"/>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854"/>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2FA4"/>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4EB8"/>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3F14"/>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389"/>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5B3"/>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678"/>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3C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4DD8"/>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4C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1DB"/>
    <w:rsid w:val="002A2616"/>
    <w:rsid w:val="002A26E1"/>
    <w:rsid w:val="002A29C1"/>
    <w:rsid w:val="002A2A37"/>
    <w:rsid w:val="002A2DD7"/>
    <w:rsid w:val="002A368A"/>
    <w:rsid w:val="002A4065"/>
    <w:rsid w:val="002A51DD"/>
    <w:rsid w:val="002A5849"/>
    <w:rsid w:val="002A59F0"/>
    <w:rsid w:val="002A5A92"/>
    <w:rsid w:val="002A5BE6"/>
    <w:rsid w:val="002A5CD8"/>
    <w:rsid w:val="002A5D1A"/>
    <w:rsid w:val="002A5E49"/>
    <w:rsid w:val="002A6432"/>
    <w:rsid w:val="002A666B"/>
    <w:rsid w:val="002A680C"/>
    <w:rsid w:val="002A6A32"/>
    <w:rsid w:val="002A6C7C"/>
    <w:rsid w:val="002A6F25"/>
    <w:rsid w:val="002A6FD3"/>
    <w:rsid w:val="002A70D6"/>
    <w:rsid w:val="002A7A2E"/>
    <w:rsid w:val="002B0612"/>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09C5"/>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A3"/>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F60"/>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9FD"/>
    <w:rsid w:val="00327A9F"/>
    <w:rsid w:val="003300E5"/>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C24"/>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8F1"/>
    <w:rsid w:val="00387A25"/>
    <w:rsid w:val="00387B23"/>
    <w:rsid w:val="00390017"/>
    <w:rsid w:val="003901A3"/>
    <w:rsid w:val="00390452"/>
    <w:rsid w:val="003904E4"/>
    <w:rsid w:val="003905D9"/>
    <w:rsid w:val="003905E1"/>
    <w:rsid w:val="00390721"/>
    <w:rsid w:val="0039072F"/>
    <w:rsid w:val="00390FBD"/>
    <w:rsid w:val="00391324"/>
    <w:rsid w:val="00391431"/>
    <w:rsid w:val="0039164F"/>
    <w:rsid w:val="00391728"/>
    <w:rsid w:val="0039208D"/>
    <w:rsid w:val="003927CA"/>
    <w:rsid w:val="00392AA3"/>
    <w:rsid w:val="00392BE3"/>
    <w:rsid w:val="0039303C"/>
    <w:rsid w:val="00393A48"/>
    <w:rsid w:val="00393AF0"/>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AA2"/>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46C"/>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78"/>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1E5"/>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5E9D"/>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508"/>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75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0F2"/>
    <w:rsid w:val="006C5958"/>
    <w:rsid w:val="006C5B4F"/>
    <w:rsid w:val="006C614B"/>
    <w:rsid w:val="006C643C"/>
    <w:rsid w:val="006C661D"/>
    <w:rsid w:val="006C6C58"/>
    <w:rsid w:val="006C6E3A"/>
    <w:rsid w:val="006C6FD7"/>
    <w:rsid w:val="006C7279"/>
    <w:rsid w:val="006C750E"/>
    <w:rsid w:val="006C7B4B"/>
    <w:rsid w:val="006C7D92"/>
    <w:rsid w:val="006C7F9B"/>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4F63"/>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A57"/>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0C3"/>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2933"/>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B48"/>
    <w:rsid w:val="007A1CCC"/>
    <w:rsid w:val="007A1E86"/>
    <w:rsid w:val="007A1F44"/>
    <w:rsid w:val="007A201B"/>
    <w:rsid w:val="007A23FF"/>
    <w:rsid w:val="007A24B9"/>
    <w:rsid w:val="007A27CE"/>
    <w:rsid w:val="007A2827"/>
    <w:rsid w:val="007A295B"/>
    <w:rsid w:val="007A2B30"/>
    <w:rsid w:val="007A2D9C"/>
    <w:rsid w:val="007A30C4"/>
    <w:rsid w:val="007A32D3"/>
    <w:rsid w:val="007A32E0"/>
    <w:rsid w:val="007A3424"/>
    <w:rsid w:val="007A3584"/>
    <w:rsid w:val="007A35EF"/>
    <w:rsid w:val="007A3608"/>
    <w:rsid w:val="007A4244"/>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0FC"/>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564"/>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80"/>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1F"/>
    <w:rsid w:val="008878EF"/>
    <w:rsid w:val="00887B48"/>
    <w:rsid w:val="0089012B"/>
    <w:rsid w:val="00890990"/>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0A5"/>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5CB5"/>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1EBF"/>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3CD6"/>
    <w:rsid w:val="00A147F3"/>
    <w:rsid w:val="00A14813"/>
    <w:rsid w:val="00A15157"/>
    <w:rsid w:val="00A1566A"/>
    <w:rsid w:val="00A156D3"/>
    <w:rsid w:val="00A15833"/>
    <w:rsid w:val="00A15C08"/>
    <w:rsid w:val="00A1609C"/>
    <w:rsid w:val="00A16380"/>
    <w:rsid w:val="00A165BF"/>
    <w:rsid w:val="00A16D8C"/>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47F43"/>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ABE"/>
    <w:rsid w:val="00A81D3C"/>
    <w:rsid w:val="00A81F9D"/>
    <w:rsid w:val="00A820B1"/>
    <w:rsid w:val="00A824DB"/>
    <w:rsid w:val="00A82594"/>
    <w:rsid w:val="00A82B04"/>
    <w:rsid w:val="00A82D51"/>
    <w:rsid w:val="00A82D58"/>
    <w:rsid w:val="00A82FDE"/>
    <w:rsid w:val="00A83366"/>
    <w:rsid w:val="00A838E5"/>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9AC"/>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2C7E"/>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5B50"/>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C9D"/>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20"/>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47"/>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EB8"/>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3E1"/>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30F"/>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703"/>
    <w:rsid w:val="00C17CCE"/>
    <w:rsid w:val="00C204DF"/>
    <w:rsid w:val="00C20588"/>
    <w:rsid w:val="00C209D5"/>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0E59"/>
    <w:rsid w:val="00D31303"/>
    <w:rsid w:val="00D3184B"/>
    <w:rsid w:val="00D31A02"/>
    <w:rsid w:val="00D31A23"/>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19E"/>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2EB3"/>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77F1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10"/>
    <w:rsid w:val="00DF2C4C"/>
    <w:rsid w:val="00DF2D4A"/>
    <w:rsid w:val="00DF2F1A"/>
    <w:rsid w:val="00DF386F"/>
    <w:rsid w:val="00DF447B"/>
    <w:rsid w:val="00DF4572"/>
    <w:rsid w:val="00DF4658"/>
    <w:rsid w:val="00DF47EC"/>
    <w:rsid w:val="00DF4CA9"/>
    <w:rsid w:val="00DF530E"/>
    <w:rsid w:val="00DF5502"/>
    <w:rsid w:val="00DF5547"/>
    <w:rsid w:val="00DF576A"/>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46A"/>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54"/>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165"/>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5903"/>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6D2"/>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9AD"/>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88B"/>
    <w:rsid w:val="00F85D62"/>
    <w:rsid w:val="00F85EF8"/>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B4"/>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482"/>
    <w:rsid w:val="00FC0640"/>
    <w:rsid w:val="00FC0F8A"/>
    <w:rsid w:val="00FC15AC"/>
    <w:rsid w:val="00FC177E"/>
    <w:rsid w:val="00FC1DDD"/>
    <w:rsid w:val="00FC1FEF"/>
    <w:rsid w:val="00FC20F6"/>
    <w:rsid w:val="00FC2787"/>
    <w:rsid w:val="00FC2925"/>
    <w:rsid w:val="00FC2A1B"/>
    <w:rsid w:val="00FC361F"/>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9DE"/>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D8C"/>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paragraph" w:customStyle="1" w:styleId="0Maintext">
    <w:name w:val="0 Main text"/>
    <w:basedOn w:val="Normal"/>
    <w:link w:val="0MaintextChar"/>
    <w:qFormat/>
    <w:rsid w:val="00804564"/>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rsid w:val="00804564"/>
    <w:rPr>
      <w:rFonts w:eastAsia="Malgun Gothic" w:cs="Batang"/>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747"/>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AE21F-1C22-44C2-AA5D-3351CF03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2</cp:revision>
  <cp:lastPrinted>2015-04-01T01:56:00Z</cp:lastPrinted>
  <dcterms:created xsi:type="dcterms:W3CDTF">2021-05-07T00:23:00Z</dcterms:created>
  <dcterms:modified xsi:type="dcterms:W3CDTF">2021-05-07T00:23:00Z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